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F7B91" w:rsidRDefault="006F7B91">
      <w:pPr>
        <w:rPr>
          <w:b/>
          <w:sz w:val="18"/>
          <w:szCs w:val="18"/>
        </w:rPr>
      </w:pPr>
    </w:p>
    <w:p w:rsidR="00CC2664" w:rsidRPr="008A74EA" w:rsidRDefault="00CC2664" w:rsidP="00C55BD6">
      <w:pPr>
        <w:spacing w:after="50" w:line="240" w:lineRule="auto"/>
        <w:ind w:firstLine="288"/>
        <w:jc w:val="both"/>
        <w:rPr>
          <w:rFonts w:ascii="Arial" w:eastAsia="Times New Roman" w:hAnsi="Arial" w:cs="Arial"/>
          <w:b/>
          <w:lang w:val="es-ES" w:eastAsia="es-ES"/>
        </w:rPr>
      </w:pPr>
    </w:p>
    <w:p w:rsidR="008A74EA" w:rsidRPr="008A74EA" w:rsidRDefault="008A74EA" w:rsidP="008A74EA">
      <w:pPr>
        <w:spacing w:after="34" w:line="200" w:lineRule="exact"/>
        <w:ind w:firstLine="288"/>
        <w:jc w:val="both"/>
        <w:rPr>
          <w:rFonts w:eastAsia="Times New Roman" w:cstheme="minorHAnsi"/>
          <w:lang w:val="es-ES" w:eastAsia="es-ES"/>
        </w:rPr>
      </w:pPr>
      <w:r w:rsidRPr="008A74EA">
        <w:rPr>
          <w:rFonts w:ascii="Arial" w:eastAsia="Times New Roman" w:hAnsi="Arial" w:cs="Arial"/>
          <w:b/>
          <w:lang w:val="es-ES" w:eastAsia="es-ES"/>
        </w:rPr>
        <w:t>Artículo 79.-</w:t>
      </w:r>
      <w:r w:rsidRPr="008A74EA">
        <w:rPr>
          <w:rFonts w:ascii="Arial" w:eastAsia="Times New Roman" w:hAnsi="Arial" w:cs="Arial"/>
          <w:lang w:val="es-ES" w:eastAsia="es-ES"/>
        </w:rPr>
        <w:t xml:space="preserve"> </w:t>
      </w:r>
      <w:r w:rsidRPr="008A74EA">
        <w:rPr>
          <w:rFonts w:eastAsia="Times New Roman" w:cstheme="minorHAnsi"/>
          <w:lang w:val="es-ES" w:eastAsia="es-ES"/>
        </w:rPr>
        <w:t xml:space="preserve">El contrato además de cumplir con lo señalado en el artículo 46 de la Ley, deberá contener el programa de ejecución convenido y el presupuesto respectivo, así como los anexos técnicos que incluirán, entre otros aspectos, </w:t>
      </w:r>
      <w:r w:rsidRPr="00D316BD">
        <w:rPr>
          <w:rFonts w:eastAsia="Times New Roman" w:cstheme="minorHAnsi"/>
          <w:b/>
          <w:i/>
          <w:highlight w:val="yellow"/>
          <w:u w:val="single"/>
          <w:lang w:val="es-ES" w:eastAsia="es-ES"/>
        </w:rPr>
        <w:t>los planos con sus modificaciones</w:t>
      </w:r>
      <w:bookmarkStart w:id="0" w:name="_GoBack"/>
      <w:bookmarkEnd w:id="0"/>
      <w:r w:rsidRPr="008A74EA">
        <w:rPr>
          <w:rFonts w:eastAsia="Times New Roman" w:cstheme="minorHAnsi"/>
          <w:lang w:val="es-ES" w:eastAsia="es-ES"/>
        </w:rPr>
        <w:t>, especificaciones generales y particulares de construcción; asimismo, deberá establecer el mecanismo de ajuste de costos que haya determinado la dependencia o entidad en la convocatoria a la licitación pública, cuando se trate de contratos celebrados en moneda extranjera, en términos de lo señalado en el artículo 184 de este Reglamento, y deberá precisar que su vigencia iniciará con la suscripción del mismo por el contratista y finalizará cuando se firme el acta de extinción de derechos y obligaciones de las partes, o bien, se actualice el supuesto a que se refiere el último párrafo del artículo 170 del presente Reglamento.</w:t>
      </w:r>
    </w:p>
    <w:p w:rsidR="00CC2664" w:rsidRPr="008A74EA" w:rsidRDefault="00CC2664" w:rsidP="00C55BD6">
      <w:pPr>
        <w:spacing w:after="50" w:line="240" w:lineRule="auto"/>
        <w:ind w:firstLine="288"/>
        <w:jc w:val="both"/>
        <w:rPr>
          <w:rFonts w:ascii="Arial" w:eastAsia="Times New Roman" w:hAnsi="Arial" w:cs="Arial"/>
          <w:b/>
          <w:lang w:val="es-ES" w:eastAsia="es-ES"/>
        </w:rPr>
      </w:pPr>
    </w:p>
    <w:p w:rsidR="008A74EA" w:rsidRPr="008A74EA" w:rsidRDefault="008A74EA" w:rsidP="00C55BD6">
      <w:pPr>
        <w:spacing w:after="50" w:line="240" w:lineRule="auto"/>
        <w:ind w:firstLine="288"/>
        <w:jc w:val="both"/>
        <w:rPr>
          <w:rFonts w:ascii="Arial" w:eastAsia="Times New Roman" w:hAnsi="Arial" w:cs="Arial"/>
          <w:b/>
          <w:lang w:val="es-ES" w:eastAsia="es-ES"/>
        </w:rPr>
      </w:pPr>
    </w:p>
    <w:p w:rsidR="00C55BD6" w:rsidRPr="008A74EA" w:rsidRDefault="00C55BD6" w:rsidP="00C55BD6">
      <w:pPr>
        <w:spacing w:after="50" w:line="240" w:lineRule="auto"/>
        <w:ind w:firstLine="288"/>
        <w:jc w:val="both"/>
        <w:rPr>
          <w:rFonts w:ascii="Arial" w:eastAsia="Times New Roman" w:hAnsi="Arial" w:cs="Arial"/>
          <w:lang w:val="es-ES" w:eastAsia="es-ES"/>
        </w:rPr>
      </w:pPr>
      <w:r w:rsidRPr="008A74EA">
        <w:rPr>
          <w:rFonts w:ascii="Arial" w:eastAsia="Times New Roman" w:hAnsi="Arial" w:cs="Arial"/>
          <w:b/>
          <w:lang w:val="es-ES" w:eastAsia="es-ES"/>
        </w:rPr>
        <w:t>Artículo 24.-</w:t>
      </w:r>
      <w:r w:rsidRPr="008A74EA">
        <w:rPr>
          <w:rFonts w:ascii="Arial" w:eastAsia="Times New Roman" w:hAnsi="Arial" w:cs="Arial"/>
          <w:lang w:val="es-ES" w:eastAsia="es-ES"/>
        </w:rPr>
        <w:t xml:space="preserve"> </w:t>
      </w:r>
      <w:r w:rsidRPr="008A74EA">
        <w:rPr>
          <w:rFonts w:ascii="Arial" w:eastAsia="Times New Roman" w:hAnsi="Arial" w:cs="Arial"/>
          <w:lang w:val="es-ES_tradnl" w:eastAsia="es-ES"/>
        </w:rPr>
        <w:t>Las dependencias y entidades sólo iniciarán la ejecución de obras o servicios, ya sea por administración directa o por contrato, cuando:</w:t>
      </w:r>
    </w:p>
    <w:p w:rsidR="00C55BD6" w:rsidRPr="008A74EA" w:rsidRDefault="00C55BD6" w:rsidP="00C55BD6">
      <w:pPr>
        <w:spacing w:after="58" w:line="240" w:lineRule="auto"/>
        <w:ind w:left="864" w:hanging="576"/>
        <w:jc w:val="both"/>
        <w:rPr>
          <w:rFonts w:ascii="Arial" w:eastAsia="Times New Roman" w:hAnsi="Arial" w:cs="Arial"/>
          <w:lang w:val="es-ES_tradnl" w:eastAsia="es-ES"/>
        </w:rPr>
      </w:pPr>
      <w:r w:rsidRPr="008A74EA">
        <w:rPr>
          <w:rFonts w:ascii="Arial" w:eastAsia="Times New Roman" w:hAnsi="Arial" w:cs="Arial"/>
          <w:b/>
          <w:lang w:val="es-ES_tradnl" w:eastAsia="es-ES"/>
        </w:rPr>
        <w:t>I.</w:t>
      </w:r>
      <w:r w:rsidRPr="008A74EA">
        <w:rPr>
          <w:rFonts w:ascii="Arial" w:eastAsia="Times New Roman" w:hAnsi="Arial" w:cs="Arial"/>
          <w:b/>
          <w:lang w:val="es-ES_tradnl" w:eastAsia="es-ES"/>
        </w:rPr>
        <w:tab/>
      </w:r>
      <w:r w:rsidRPr="008A74EA">
        <w:rPr>
          <w:rFonts w:ascii="Arial" w:eastAsia="Times New Roman" w:hAnsi="Arial" w:cs="Arial"/>
          <w:lang w:val="es-ES_tradnl" w:eastAsia="es-ES"/>
        </w:rPr>
        <w:t>Cuenten, dependiendo del tipo de contrato, con los estudios y proyectos de arquitectura e ingeniería; las especificaciones técnicas generales y particulares y las normas de calidad correspondientes</w:t>
      </w:r>
      <w:r w:rsidRPr="008A74EA">
        <w:rPr>
          <w:rFonts w:ascii="Arial" w:eastAsia="Times New Roman" w:hAnsi="Arial" w:cs="Arial"/>
          <w:b/>
          <w:i/>
          <w:u w:val="single"/>
          <w:lang w:val="es-ES_tradnl" w:eastAsia="es-ES"/>
        </w:rPr>
        <w:t xml:space="preserve">; </w:t>
      </w:r>
      <w:r w:rsidRPr="008A74EA">
        <w:rPr>
          <w:rFonts w:ascii="Arial" w:eastAsia="Times New Roman" w:hAnsi="Arial" w:cs="Arial"/>
          <w:b/>
          <w:i/>
          <w:highlight w:val="yellow"/>
          <w:u w:val="single"/>
          <w:lang w:val="es-ES_tradnl" w:eastAsia="es-ES"/>
        </w:rPr>
        <w:t>el presupuesto de obra total y</w:t>
      </w:r>
      <w:r w:rsidRPr="008A74EA">
        <w:rPr>
          <w:rFonts w:ascii="Arial" w:eastAsia="Times New Roman" w:hAnsi="Arial" w:cs="Arial"/>
          <w:highlight w:val="yellow"/>
          <w:lang w:val="es-ES_tradnl" w:eastAsia="es-ES"/>
        </w:rPr>
        <w:t>,</w:t>
      </w:r>
      <w:r w:rsidRPr="008A74EA">
        <w:rPr>
          <w:rFonts w:ascii="Arial" w:eastAsia="Times New Roman" w:hAnsi="Arial" w:cs="Arial"/>
          <w:lang w:val="es-ES_tradnl" w:eastAsia="es-ES"/>
        </w:rPr>
        <w:t xml:space="preserve"> en su caso, para cada ejercicio presupuestario; el programa de ejecución convenido, los programas de suministro de materiales, mano de obra y maquinaria y equipo y, en su caso, de equipo de instalación permanente, ya sea que éstos sean proporcionados por la convocante o los contratistas. Tratándose de servicios se deberá contar con los términos de referencia; los programas de prestación de servicios; la plantilla y organigrama del personal, y el presupuesto de los trabajos;</w:t>
      </w:r>
    </w:p>
    <w:p w:rsidR="00C55BD6" w:rsidRPr="008A74EA" w:rsidRDefault="00C55BD6" w:rsidP="00C55BD6">
      <w:pPr>
        <w:spacing w:after="58" w:line="240" w:lineRule="auto"/>
        <w:ind w:left="864" w:hanging="576"/>
        <w:jc w:val="both"/>
        <w:rPr>
          <w:rFonts w:ascii="Arial" w:eastAsia="Times New Roman" w:hAnsi="Arial" w:cs="Arial"/>
          <w:lang w:val="es-ES_tradnl" w:eastAsia="es-ES"/>
        </w:rPr>
      </w:pPr>
      <w:r w:rsidRPr="008A74EA">
        <w:rPr>
          <w:rFonts w:ascii="Arial" w:eastAsia="Times New Roman" w:hAnsi="Arial" w:cs="Arial"/>
          <w:b/>
          <w:lang w:val="es-ES_tradnl" w:eastAsia="es-ES"/>
        </w:rPr>
        <w:t>II.</w:t>
      </w:r>
      <w:r w:rsidRPr="008A74EA">
        <w:rPr>
          <w:rFonts w:ascii="Arial" w:eastAsia="Times New Roman" w:hAnsi="Arial" w:cs="Arial"/>
          <w:b/>
          <w:lang w:val="es-ES_tradnl" w:eastAsia="es-ES"/>
        </w:rPr>
        <w:tab/>
      </w:r>
      <w:r w:rsidRPr="008A74EA">
        <w:rPr>
          <w:rFonts w:ascii="Arial" w:eastAsia="Times New Roman" w:hAnsi="Arial" w:cs="Arial"/>
          <w:lang w:val="es-ES_tradnl" w:eastAsia="es-ES"/>
        </w:rPr>
        <w:t>Se haya garantizado y formalizado el contrato o el acuerdo de ejecución por administración directa, y</w:t>
      </w:r>
    </w:p>
    <w:p w:rsidR="00C55BD6" w:rsidRPr="008A74EA" w:rsidRDefault="00C55BD6" w:rsidP="00C55BD6">
      <w:pPr>
        <w:spacing w:after="58" w:line="240" w:lineRule="auto"/>
        <w:ind w:left="864" w:hanging="576"/>
        <w:jc w:val="both"/>
        <w:rPr>
          <w:rFonts w:ascii="Arial" w:eastAsia="Times New Roman" w:hAnsi="Arial" w:cs="Arial"/>
          <w:lang w:val="es-ES_tradnl" w:eastAsia="es-ES"/>
        </w:rPr>
      </w:pPr>
      <w:r w:rsidRPr="008A74EA">
        <w:rPr>
          <w:rFonts w:ascii="Arial" w:eastAsia="Times New Roman" w:hAnsi="Arial" w:cs="Arial"/>
          <w:b/>
          <w:lang w:val="es-ES_tradnl" w:eastAsia="es-ES"/>
        </w:rPr>
        <w:t>III.</w:t>
      </w:r>
      <w:r w:rsidRPr="008A74EA">
        <w:rPr>
          <w:rFonts w:ascii="Arial" w:eastAsia="Times New Roman" w:hAnsi="Arial" w:cs="Arial"/>
          <w:b/>
          <w:lang w:val="es-ES_tradnl" w:eastAsia="es-ES"/>
        </w:rPr>
        <w:tab/>
      </w:r>
      <w:r w:rsidRPr="008A74EA">
        <w:rPr>
          <w:rFonts w:ascii="Arial" w:eastAsia="Times New Roman" w:hAnsi="Arial" w:cs="Arial"/>
          <w:lang w:val="es-ES_tradnl" w:eastAsia="es-ES"/>
        </w:rPr>
        <w:t>Se haya designado por escrito a las personas que se encargarán de la residencia y de la superintendencia del contratista.</w:t>
      </w:r>
    </w:p>
    <w:p w:rsidR="00C55BD6" w:rsidRPr="008A74EA" w:rsidRDefault="00C55BD6" w:rsidP="00C55BD6">
      <w:pPr>
        <w:spacing w:after="58" w:line="240" w:lineRule="auto"/>
        <w:ind w:firstLine="288"/>
        <w:jc w:val="both"/>
        <w:rPr>
          <w:rFonts w:ascii="Arial" w:eastAsia="Times New Roman" w:hAnsi="Arial" w:cs="Arial"/>
          <w:lang w:val="es-ES_tradnl" w:eastAsia="es-ES"/>
        </w:rPr>
      </w:pPr>
      <w:r w:rsidRPr="008A74EA">
        <w:rPr>
          <w:rFonts w:ascii="Arial" w:eastAsia="Times New Roman" w:hAnsi="Arial" w:cs="Arial"/>
          <w:lang w:val="es-ES_tradnl" w:eastAsia="es-ES"/>
        </w:rPr>
        <w:t>En la realización de los trabajos se deberán prever los impactos económicos, sociales y ecológicos que se originen con su ejecución. De realizarse dentro de un centro de población o cerca de él, los trabajos deberán ser acordes con los programas de desarrollo urbano que determine la ley de la materia, debiendo contar para ello con las autorizaciones correspondientes.</w:t>
      </w:r>
    </w:p>
    <w:p w:rsidR="00C55BD6" w:rsidRPr="008A74EA" w:rsidRDefault="00C55BD6">
      <w:pPr>
        <w:rPr>
          <w:rFonts w:ascii="Arial" w:hAnsi="Arial" w:cs="Arial"/>
          <w:b/>
          <w:lang w:val="es-ES_tradnl"/>
        </w:rPr>
      </w:pPr>
    </w:p>
    <w:sectPr w:rsidR="00C55BD6" w:rsidRPr="008A74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107152"/>
    <w:rsid w:val="00413DB3"/>
    <w:rsid w:val="006950E2"/>
    <w:rsid w:val="006F7B91"/>
    <w:rsid w:val="008A74EA"/>
    <w:rsid w:val="00C55BD6"/>
    <w:rsid w:val="00CC2664"/>
    <w:rsid w:val="00D316BD"/>
    <w:rsid w:val="00F5142C"/>
    <w:rsid w:val="00FB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2013-04-19T17:02:00Z</dcterms:created>
  <dcterms:modified xsi:type="dcterms:W3CDTF">2013-04-19T17:04:00Z</dcterms:modified>
</cp:coreProperties>
</file>